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1350"/>
        <w:gridCol w:w="4230"/>
        <w:gridCol w:w="3780"/>
      </w:tblGrid>
      <w:tr w:rsidR="001760D5" w:rsidRPr="00F152AF" w14:paraId="30F248DB" w14:textId="77777777" w:rsidTr="007F1F2E">
        <w:trPr>
          <w:trHeight w:val="720"/>
        </w:trPr>
        <w:tc>
          <w:tcPr>
            <w:tcW w:w="13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29617E" w14:textId="77777777" w:rsidR="001760D5" w:rsidRPr="00F152AF" w:rsidRDefault="00CB7365" w:rsidP="007F1F2E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شعار الجهة العامة</w:t>
            </w:r>
          </w:p>
        </w:tc>
        <w:tc>
          <w:tcPr>
            <w:tcW w:w="4230" w:type="dxa"/>
            <w:tcBorders>
              <w:bottom w:val="nil"/>
            </w:tcBorders>
          </w:tcPr>
          <w:p w14:paraId="0E8DE895" w14:textId="77777777" w:rsidR="001760D5" w:rsidRPr="00CB7365" w:rsidRDefault="00CB7365" w:rsidP="007F1F2E">
            <w:pPr>
              <w:pStyle w:val="ListParagraph"/>
              <w:bidi/>
              <w:spacing w:before="60" w:after="120"/>
              <w:ind w:left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B7365">
              <w:rPr>
                <w:rFonts w:cs="Arial" w:hint="cs"/>
                <w:b/>
                <w:bCs/>
                <w:sz w:val="18"/>
                <w:szCs w:val="18"/>
                <w:rtl/>
              </w:rPr>
              <w:t>اسم الجهة العامة:</w:t>
            </w:r>
          </w:p>
          <w:p w14:paraId="75204C61" w14:textId="77777777" w:rsidR="001760D5" w:rsidRPr="00C96102" w:rsidRDefault="00CB7365" w:rsidP="007F1F2E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rtl/>
              </w:rPr>
              <w:t>إدارة الطرق</w:t>
            </w:r>
          </w:p>
        </w:tc>
        <w:tc>
          <w:tcPr>
            <w:tcW w:w="3780" w:type="dxa"/>
            <w:tcBorders>
              <w:bottom w:val="nil"/>
            </w:tcBorders>
          </w:tcPr>
          <w:p w14:paraId="731F248A" w14:textId="77777777" w:rsidR="001760D5" w:rsidRPr="00C96102" w:rsidRDefault="00CB7365" w:rsidP="007F1F2E">
            <w:pPr>
              <w:pStyle w:val="ListParagraph"/>
              <w:bidi/>
              <w:spacing w:before="60" w:after="120"/>
              <w:ind w:left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إجراءات إدارة الجهة العامة:</w:t>
            </w:r>
          </w:p>
          <w:p w14:paraId="0CC9B35A" w14:textId="77777777" w:rsidR="001760D5" w:rsidRPr="00C96102" w:rsidRDefault="001760D5" w:rsidP="007F1F2E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</w:rPr>
            </w:pPr>
            <w:proofErr w:type="spellStart"/>
            <w:r w:rsidRPr="00C96102">
              <w:rPr>
                <w:rFonts w:cs="Arial"/>
                <w:b/>
              </w:rPr>
              <w:t>xxxxxx</w:t>
            </w:r>
            <w:proofErr w:type="spellEnd"/>
          </w:p>
        </w:tc>
      </w:tr>
      <w:tr w:rsidR="001760D5" w:rsidRPr="00F152AF" w14:paraId="19A09F51" w14:textId="77777777" w:rsidTr="007F1F2E">
        <w:tc>
          <w:tcPr>
            <w:tcW w:w="5580" w:type="dxa"/>
            <w:gridSpan w:val="2"/>
            <w:tcBorders>
              <w:bottom w:val="nil"/>
            </w:tcBorders>
          </w:tcPr>
          <w:p w14:paraId="59E1C622" w14:textId="77777777" w:rsidR="001760D5" w:rsidRPr="00CB7365" w:rsidRDefault="00CB7365" w:rsidP="007F1F2E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Cs/>
              </w:rPr>
            </w:pPr>
            <w:r w:rsidRPr="00CB7365">
              <w:rPr>
                <w:rFonts w:cs="Arial" w:hint="cs"/>
                <w:bCs/>
                <w:sz w:val="18"/>
                <w:szCs w:val="18"/>
                <w:rtl/>
              </w:rPr>
              <w:t>رقم العقد/ الإيجار:</w:t>
            </w:r>
          </w:p>
        </w:tc>
        <w:tc>
          <w:tcPr>
            <w:tcW w:w="3780" w:type="dxa"/>
            <w:tcBorders>
              <w:bottom w:val="nil"/>
            </w:tcBorders>
          </w:tcPr>
          <w:p w14:paraId="457AF89E" w14:textId="77777777" w:rsidR="001760D5" w:rsidRPr="00CB7365" w:rsidRDefault="00CB7365" w:rsidP="007F1F2E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Cs/>
              </w:rPr>
            </w:pPr>
            <w:r w:rsidRPr="00CB7365">
              <w:rPr>
                <w:rFonts w:cs="Arial" w:hint="cs"/>
                <w:bCs/>
                <w:sz w:val="18"/>
                <w:szCs w:val="18"/>
                <w:rtl/>
              </w:rPr>
              <w:t xml:space="preserve">رقم تصريح العبور: </w:t>
            </w:r>
          </w:p>
        </w:tc>
      </w:tr>
      <w:tr w:rsidR="001760D5" w14:paraId="714B4FFE" w14:textId="77777777" w:rsidTr="007F1F2E"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420C98B4" w14:textId="77777777" w:rsidR="001760D5" w:rsidRDefault="001760D5" w:rsidP="007F1F2E">
            <w:pPr>
              <w:pStyle w:val="ListParagraph"/>
              <w:bidi/>
              <w:spacing w:after="240"/>
              <w:ind w:left="0"/>
              <w:jc w:val="left"/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784B06A8" w14:textId="77777777" w:rsidR="001760D5" w:rsidRDefault="001760D5" w:rsidP="007F1F2E">
            <w:pPr>
              <w:pStyle w:val="ListParagraph"/>
              <w:bidi/>
              <w:spacing w:after="240"/>
              <w:ind w:left="0"/>
              <w:jc w:val="left"/>
            </w:pPr>
            <w:proofErr w:type="spellStart"/>
            <w:r w:rsidRPr="00132728">
              <w:rPr>
                <w:b/>
                <w:bCs/>
              </w:rPr>
              <w:t>xxxxxx</w:t>
            </w:r>
            <w:proofErr w:type="spellEnd"/>
          </w:p>
        </w:tc>
      </w:tr>
      <w:tr w:rsidR="001760D5" w14:paraId="3B93B98C" w14:textId="77777777" w:rsidTr="007F1F2E">
        <w:trPr>
          <w:trHeight w:val="11274"/>
        </w:trPr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7148B1F1" w14:textId="77777777" w:rsidR="00526961" w:rsidRPr="00526961" w:rsidRDefault="00526961" w:rsidP="00526961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526961">
              <w:rPr>
                <w:rtl/>
              </w:rPr>
              <w:t xml:space="preserve">يجب على مقاول الأعمال الإنشائية التأكيد على أنه يمتثل في جميع الأوقات لكافة الأحكام الخاصة بدليل إرشادات الجهة العامة و/ أو معايير وزارة النقل. </w:t>
            </w:r>
          </w:p>
          <w:p w14:paraId="0CDF4F55" w14:textId="77777777" w:rsidR="00893728" w:rsidRDefault="00893728" w:rsidP="00893728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C900B0">
              <w:rPr>
                <w:rtl/>
              </w:rPr>
              <w:t xml:space="preserve">تشكل "خطة إدارة حركة المرور" الخاصة بمقاول الأعمال الإنشائية، على النحو المعتمد من إدارة الطرق، شرطًا للحصول على هذا التصريح ويجب الالتزام بها في جميع الأوقات. </w:t>
            </w:r>
          </w:p>
          <w:p w14:paraId="6DF32F31" w14:textId="77777777" w:rsidR="0069114D" w:rsidRDefault="0069114D" w:rsidP="0069114D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69114D">
              <w:rPr>
                <w:rtl/>
              </w:rPr>
              <w:t xml:space="preserve">يجب أن يكون لدى مقاول الأعمال الإنشائية موقع عمل تم معاينته واعتماده من إدارة الطرق قبل البدء في العمل. </w:t>
            </w:r>
          </w:p>
          <w:p w14:paraId="2566574D" w14:textId="77777777" w:rsidR="001760D5" w:rsidRPr="00945184" w:rsidRDefault="00D80628" w:rsidP="00D80628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D80628">
              <w:rPr>
                <w:rtl/>
              </w:rPr>
              <w:t>فيما يتعلق بتصاريح العبور التي تتضمن إغلاق الطريق و/ أو تحويل حركة المرور، يجب على مدير القسم الإداري تقديم معلومات مسبقة للجمهور حول عمليات الإغلاق هذه. في مثل هذه الحال</w:t>
            </w:r>
            <w:r>
              <w:rPr>
                <w:rtl/>
              </w:rPr>
              <w:t>ات، يجب اتباع الإرشادات التالية</w:t>
            </w:r>
            <w:r w:rsidR="001760D5" w:rsidRPr="00945184">
              <w:rPr>
                <w:color w:val="1A1A1A"/>
              </w:rPr>
              <w:t>:</w:t>
            </w:r>
          </w:p>
          <w:p w14:paraId="622FD90C" w14:textId="77777777" w:rsidR="004E5E09" w:rsidRPr="004E5E09" w:rsidRDefault="004E5E09" w:rsidP="00C311CF">
            <w:pPr>
              <w:pStyle w:val="Bullet1"/>
              <w:numPr>
                <w:ilvl w:val="0"/>
                <w:numId w:val="11"/>
              </w:numPr>
              <w:bidi/>
              <w:spacing w:after="120"/>
              <w:ind w:right="76"/>
              <w:rPr>
                <w:color w:val="595959"/>
              </w:rPr>
            </w:pPr>
            <w:r w:rsidRPr="004E5E09">
              <w:rPr>
                <w:color w:val="595959"/>
                <w:rtl/>
              </w:rPr>
              <w:t xml:space="preserve">لإغلاق طريق مصنف وظيفيُا بأنه طريق تجميع أو أكثر من ذلك، يجب تقديم إشعار مسبق قبل سبعة أيام من تاريخ الإغلاق. </w:t>
            </w:r>
            <w:r w:rsidR="0061437A" w:rsidRPr="0061437A">
              <w:rPr>
                <w:color w:val="595959"/>
                <w:rtl/>
              </w:rPr>
              <w:t xml:space="preserve">إرسال إشعار لموظفي الجهة العامة عبر البريد الإلكتروني وكذلك لعامة </w:t>
            </w:r>
            <w:r w:rsidR="00C311CF">
              <w:rPr>
                <w:rFonts w:hint="cs"/>
                <w:color w:val="595959"/>
                <w:rtl/>
              </w:rPr>
              <w:t>الناس</w:t>
            </w:r>
            <w:r w:rsidR="0061437A" w:rsidRPr="0061437A">
              <w:rPr>
                <w:color w:val="595959"/>
                <w:rtl/>
              </w:rPr>
              <w:t xml:space="preserve"> عبر قنوات الك</w:t>
            </w:r>
            <w:r w:rsidR="00C311CF">
              <w:rPr>
                <w:rFonts w:hint="cs"/>
                <w:color w:val="595959"/>
                <w:rtl/>
              </w:rPr>
              <w:t>ي</w:t>
            </w:r>
            <w:r w:rsidR="0061437A" w:rsidRPr="0061437A">
              <w:rPr>
                <w:color w:val="595959"/>
                <w:rtl/>
              </w:rPr>
              <w:t>بل التلفزيونية الخاصة بالجهة العامة.</w:t>
            </w:r>
            <w:r w:rsidR="00490FC8">
              <w:rPr>
                <w:rtl/>
              </w:rPr>
              <w:t xml:space="preserve"> </w:t>
            </w:r>
            <w:r w:rsidR="00490FC8" w:rsidRPr="00490FC8">
              <w:rPr>
                <w:color w:val="595959"/>
                <w:rtl/>
              </w:rPr>
              <w:t xml:space="preserve">بالإضافة إلى ذلك، قد تطلب إدارة الطرق وفقًا لتقديرها </w:t>
            </w:r>
            <w:r w:rsidR="00CA49E6">
              <w:rPr>
                <w:rFonts w:hint="cs"/>
                <w:color w:val="595959"/>
                <w:rtl/>
              </w:rPr>
              <w:t>تقديم</w:t>
            </w:r>
            <w:r w:rsidR="00490FC8" w:rsidRPr="00490FC8">
              <w:rPr>
                <w:color w:val="595959"/>
                <w:rtl/>
              </w:rPr>
              <w:t xml:space="preserve"> إشعارًا عامًا عبر لوحات العرض في المراكز التجارية وعبر الصحف المحلية.</w:t>
            </w:r>
          </w:p>
          <w:p w14:paraId="60A6846A" w14:textId="77777777" w:rsidR="001760D5" w:rsidRPr="00945184" w:rsidRDefault="00036B02" w:rsidP="00C311CF">
            <w:pPr>
              <w:pStyle w:val="Bullet1"/>
              <w:numPr>
                <w:ilvl w:val="0"/>
                <w:numId w:val="11"/>
              </w:numPr>
              <w:bidi/>
              <w:spacing w:after="120"/>
              <w:ind w:right="76"/>
              <w:rPr>
                <w:color w:val="595959"/>
              </w:rPr>
            </w:pPr>
            <w:r w:rsidRPr="00036B02">
              <w:rPr>
                <w:rtl/>
              </w:rPr>
              <w:t xml:space="preserve">لإغلاق الطرق المحلية والسكنية، يجب تقديم إشعار مسبق قبل ثلاثة أيام من تاريخ الإغلاق عبر لوحات العرض في المراكز التجارية ومن خلال توزيع النشرات </w:t>
            </w:r>
            <w:r>
              <w:rPr>
                <w:rtl/>
              </w:rPr>
              <w:t xml:space="preserve">على السكان </w:t>
            </w:r>
            <w:r w:rsidR="00C311CF">
              <w:rPr>
                <w:rFonts w:hint="cs"/>
                <w:rtl/>
              </w:rPr>
              <w:t>المتأثرين</w:t>
            </w:r>
            <w:r>
              <w:rPr>
                <w:rtl/>
              </w:rPr>
              <w:t xml:space="preserve"> من الإغلاق</w:t>
            </w:r>
            <w:r w:rsidR="001760D5" w:rsidRPr="00945184">
              <w:t>.</w:t>
            </w:r>
          </w:p>
          <w:p w14:paraId="6F32B54A" w14:textId="77777777" w:rsidR="001760D5" w:rsidRPr="00945184" w:rsidRDefault="0075242D" w:rsidP="0075242D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75242D">
              <w:rPr>
                <w:rtl/>
              </w:rPr>
              <w:t>يتحمل مقاول الأعمال الإنشائية المسؤولية الكاملة عن المنطقة التي يع</w:t>
            </w:r>
            <w:r>
              <w:rPr>
                <w:rtl/>
              </w:rPr>
              <w:t>مل فيها على أن يتضمن ذلك ما يلي</w:t>
            </w:r>
            <w:r w:rsidR="001760D5" w:rsidRPr="00945184">
              <w:t>:</w:t>
            </w:r>
          </w:p>
          <w:p w14:paraId="0761CF79" w14:textId="77777777" w:rsidR="00F44BE9" w:rsidRPr="00F44BE9" w:rsidRDefault="00F44BE9" w:rsidP="00F44BE9">
            <w:pPr>
              <w:pStyle w:val="Bullet1"/>
              <w:numPr>
                <w:ilvl w:val="0"/>
                <w:numId w:val="11"/>
              </w:numPr>
              <w:bidi/>
              <w:spacing w:after="120"/>
              <w:ind w:right="76"/>
              <w:rPr>
                <w:color w:val="595959"/>
              </w:rPr>
            </w:pPr>
            <w:r w:rsidRPr="00F44BE9">
              <w:rPr>
                <w:rtl/>
              </w:rPr>
              <w:t>كافة أعمال الصيانة الدورية ومراقبة المنطقة.</w:t>
            </w:r>
          </w:p>
          <w:p w14:paraId="4E610489" w14:textId="77777777" w:rsidR="00BA04B9" w:rsidRPr="00BA04B9" w:rsidRDefault="00BA04B9" w:rsidP="00BA04B9">
            <w:pPr>
              <w:pStyle w:val="Bullet1"/>
              <w:numPr>
                <w:ilvl w:val="0"/>
                <w:numId w:val="11"/>
              </w:numPr>
              <w:bidi/>
              <w:spacing w:after="120"/>
              <w:ind w:right="76"/>
              <w:rPr>
                <w:color w:val="49494B"/>
              </w:rPr>
            </w:pPr>
            <w:r w:rsidRPr="00BA04B9">
              <w:rPr>
                <w:rtl/>
              </w:rPr>
              <w:t>استبدال أية عناصر تعرضت للتلف بواسطته أو بواسطة أي مقاول أعمال إنشائية آخر.</w:t>
            </w:r>
          </w:p>
          <w:p w14:paraId="7AF7E2B8" w14:textId="77777777" w:rsidR="001760D5" w:rsidRPr="00945184" w:rsidRDefault="00F27C05" w:rsidP="00BA04B9">
            <w:pPr>
              <w:pStyle w:val="Bullet1"/>
              <w:numPr>
                <w:ilvl w:val="0"/>
                <w:numId w:val="11"/>
              </w:numPr>
              <w:bidi/>
              <w:spacing w:after="120"/>
              <w:ind w:right="76"/>
              <w:rPr>
                <w:color w:val="49494B"/>
              </w:rPr>
            </w:pPr>
            <w:r>
              <w:rPr>
                <w:rFonts w:hint="cs"/>
                <w:rtl/>
              </w:rPr>
              <w:t>إصلاح المنطقة</w:t>
            </w:r>
          </w:p>
          <w:p w14:paraId="12C19CB7" w14:textId="77777777" w:rsidR="001760D5" w:rsidRPr="00945184" w:rsidRDefault="00697D04" w:rsidP="00697D04">
            <w:pPr>
              <w:pStyle w:val="Bullet1"/>
              <w:numPr>
                <w:ilvl w:val="0"/>
                <w:numId w:val="11"/>
              </w:numPr>
              <w:bidi/>
              <w:spacing w:after="120"/>
              <w:ind w:right="76"/>
              <w:rPr>
                <w:color w:val="49494B"/>
              </w:rPr>
            </w:pPr>
            <w:r w:rsidRPr="00697D04">
              <w:rPr>
                <w:rtl/>
              </w:rPr>
              <w:t>تلبية كافة المتطلبا</w:t>
            </w:r>
            <w:r>
              <w:rPr>
                <w:rtl/>
              </w:rPr>
              <w:t>ت المنصوص عليها في تصريح العبور</w:t>
            </w:r>
            <w:r w:rsidR="001760D5" w:rsidRPr="00945184">
              <w:t>.</w:t>
            </w:r>
          </w:p>
          <w:p w14:paraId="28A5D34D" w14:textId="77777777" w:rsidR="00C73312" w:rsidRPr="00584B53" w:rsidRDefault="00C73312" w:rsidP="00B72B45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584B53">
              <w:rPr>
                <w:rtl/>
              </w:rPr>
              <w:t xml:space="preserve">على مقاول الأعمال الإنشائية إعادة المنطقة إلى حالتها الأصلية كما استلمها من إدارة الطرق. </w:t>
            </w:r>
            <w:r w:rsidR="00D84582" w:rsidRPr="00584B53">
              <w:rPr>
                <w:rtl/>
              </w:rPr>
              <w:t xml:space="preserve">في حالة السماح بتنفيذ أعمال الحفر المكشوف في الطريق، فإن إصلاح الطريق سيشمل الكشط / إعادة الرصف </w:t>
            </w:r>
            <w:r w:rsidR="00B72B45" w:rsidRPr="00584B53">
              <w:rPr>
                <w:rFonts w:hint="cs"/>
                <w:rtl/>
              </w:rPr>
              <w:t>وحدود</w:t>
            </w:r>
            <w:r w:rsidR="00D84582" w:rsidRPr="00584B53">
              <w:rPr>
                <w:rtl/>
              </w:rPr>
              <w:t xml:space="preserve"> طبقة الرصف السطحية الحالية، على بعد 50 مترًا أعلى/ أسفل خطوط حواف الحفر بالطريق.</w:t>
            </w:r>
            <w:r w:rsidR="00D84582" w:rsidRPr="00584B53">
              <w:rPr>
                <w:rFonts w:hint="cs"/>
                <w:rtl/>
              </w:rPr>
              <w:t xml:space="preserve"> </w:t>
            </w:r>
            <w:r w:rsidR="002C34FD" w:rsidRPr="00584B53">
              <w:rPr>
                <w:rtl/>
              </w:rPr>
              <w:t>سيتم تمديد الطول البالغ 50 مترًا إلى أقرب تقاطع إذا كان موجودًا على بعد 100 متر من خط حافة حفر الطريق.</w:t>
            </w:r>
            <w:r w:rsidR="002C34FD" w:rsidRPr="00584B53">
              <w:rPr>
                <w:rFonts w:hint="cs"/>
                <w:rtl/>
              </w:rPr>
              <w:t xml:space="preserve"> </w:t>
            </w:r>
            <w:r w:rsidR="00B72B45" w:rsidRPr="00584B53">
              <w:rPr>
                <w:rtl/>
              </w:rPr>
              <w:t>فيما يتعلق بحفر الطرق الموازية، سيتم توسيع نطاق الكشط / إعادة الرصف وحدود طبقة الرصف الحالية إلى عرض الرصف الكامل للطرق غير المقسمة وحتى الحافة المتوسطة للطرق المقسمة.</w:t>
            </w:r>
          </w:p>
          <w:p w14:paraId="7CA7FB00" w14:textId="77777777" w:rsidR="00290DC1" w:rsidRDefault="00290DC1" w:rsidP="00290DC1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290DC1">
              <w:rPr>
                <w:rtl/>
              </w:rPr>
              <w:t xml:space="preserve">يجب على مقاول الأعمال الإنشائية توفير رقم هاتف للطوارىء يعمل على مدار 24 ساعة، سيؤدي عدم تشغيل هذا الرقم بشكل صحيح إلى إلغاء التصريح وإيقاف العمل. </w:t>
            </w:r>
          </w:p>
          <w:p w14:paraId="53551A85" w14:textId="77777777" w:rsidR="001352A0" w:rsidRPr="00D40958" w:rsidRDefault="001352A0" w:rsidP="00D40958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D40958">
              <w:rPr>
                <w:rtl/>
              </w:rPr>
              <w:t xml:space="preserve">مقاول </w:t>
            </w:r>
            <w:r w:rsidR="00D40958" w:rsidRPr="00D40958">
              <w:rPr>
                <w:rtl/>
              </w:rPr>
              <w:t>الأعمال الإنشائية مسؤول عن طلب</w:t>
            </w:r>
            <w:r w:rsidR="00D40958" w:rsidRPr="00D40958">
              <w:rPr>
                <w:rFonts w:hint="cs"/>
                <w:rtl/>
              </w:rPr>
              <w:t xml:space="preserve"> </w:t>
            </w:r>
            <w:r w:rsidRPr="00D40958">
              <w:rPr>
                <w:rtl/>
              </w:rPr>
              <w:t>إجراء معاينة تفصيلية للأعمال المنجزة بواسطة إدارة الطرق</w:t>
            </w:r>
            <w:r w:rsidR="00D40958" w:rsidRPr="00D40958">
              <w:rPr>
                <w:rtl/>
              </w:rPr>
              <w:t xml:space="preserve"> خلال فترة إشرافه على العقد</w:t>
            </w:r>
            <w:r w:rsidRPr="00D40958">
              <w:rPr>
                <w:rtl/>
              </w:rPr>
              <w:t xml:space="preserve">. </w:t>
            </w:r>
          </w:p>
          <w:p w14:paraId="02E75356" w14:textId="77777777" w:rsidR="001760D5" w:rsidRPr="00945184" w:rsidRDefault="00F75EAE" w:rsidP="001177D8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76"/>
              <w:jc w:val="left"/>
            </w:pPr>
            <w:r w:rsidRPr="00F75EAE">
              <w:rPr>
                <w:rtl/>
              </w:rPr>
              <w:t>يجب على مقاول الأعمال الإنشائية التواجد أثناء معاينة الأعمال المنجزة ويجب أن يكون بحوزته تصريح العبور الأصلي، الذي سيتم تسليمه لممثل إدارة الطرق.</w:t>
            </w:r>
            <w:r w:rsidR="001177D8">
              <w:rPr>
                <w:rtl/>
              </w:rPr>
              <w:t xml:space="preserve"> </w:t>
            </w:r>
            <w:r w:rsidR="001177D8" w:rsidRPr="001177D8">
              <w:rPr>
                <w:rtl/>
              </w:rPr>
              <w:t>إذا تم قبول الأعمال المنجزة، سيتم التوقيع على الترخيص وإعادته إلى مقاول الاعمال الإنشائية بالطرق الر</w:t>
            </w:r>
            <w:r w:rsidR="001177D8">
              <w:rPr>
                <w:rtl/>
              </w:rPr>
              <w:t>سمية</w:t>
            </w:r>
            <w:r w:rsidR="001760D5" w:rsidRPr="00945184">
              <w:rPr>
                <w:color w:val="1A1A1A"/>
              </w:rPr>
              <w:t>.</w:t>
            </w:r>
          </w:p>
          <w:p w14:paraId="7F74B6BF" w14:textId="77777777" w:rsidR="001760D5" w:rsidRDefault="00805392" w:rsidP="007F1F2E">
            <w:pPr>
              <w:pStyle w:val="ListParagraph"/>
              <w:bidi/>
              <w:spacing w:after="120"/>
              <w:ind w:left="0" w:right="76"/>
              <w:jc w:val="left"/>
              <w:rPr>
                <w:lang w:bidi="ar-BH"/>
              </w:rPr>
            </w:pPr>
            <w:r w:rsidRPr="00584B53">
              <w:rPr>
                <w:rtl/>
              </w:rPr>
              <w:t>يجب أن يتم تصنيع كافة إشارات مراقبة المرور والطرق الجانبية وفقًا للمواصفات المذكورة بدليل إرشادات الجهة العامة في قسم إرشادات المرور 02891.</w:t>
            </w:r>
          </w:p>
        </w:tc>
      </w:tr>
    </w:tbl>
    <w:p w14:paraId="2D41F984" w14:textId="77777777" w:rsidR="001760D5" w:rsidRDefault="001760D5" w:rsidP="001760D5">
      <w:pPr>
        <w:jc w:val="left"/>
      </w:pPr>
      <w:r>
        <w:br w:type="page"/>
      </w:r>
    </w:p>
    <w:p w14:paraId="570E05A2" w14:textId="77777777" w:rsidR="001760D5" w:rsidRDefault="001760D5" w:rsidP="001760D5"/>
    <w:tbl>
      <w:tblPr>
        <w:tblStyle w:val="TableGrid"/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2880"/>
        <w:gridCol w:w="270"/>
        <w:gridCol w:w="990"/>
        <w:gridCol w:w="270"/>
        <w:gridCol w:w="3060"/>
        <w:gridCol w:w="270"/>
        <w:gridCol w:w="1080"/>
        <w:gridCol w:w="11"/>
        <w:gridCol w:w="259"/>
      </w:tblGrid>
      <w:tr w:rsidR="001760D5" w:rsidRPr="00D34B6A" w14:paraId="6A30984C" w14:textId="77777777" w:rsidTr="00003864">
        <w:trPr>
          <w:trHeight w:val="288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F908" w14:textId="77777777" w:rsidR="001760D5" w:rsidRPr="00002F85" w:rsidRDefault="00002F85" w:rsidP="00003864">
            <w:pPr>
              <w:tabs>
                <w:tab w:val="left" w:pos="435"/>
              </w:tabs>
              <w:bidi/>
              <w:spacing w:before="60" w:after="60"/>
              <w:ind w:left="435" w:right="144" w:hanging="363"/>
              <w:jc w:val="left"/>
              <w:rPr>
                <w:bCs/>
                <w:sz w:val="22"/>
                <w:szCs w:val="22"/>
                <w:rtl/>
                <w:lang w:bidi="ar-BH"/>
              </w:rPr>
            </w:pPr>
            <w:r w:rsidRPr="00002F85">
              <w:rPr>
                <w:bCs/>
                <w:sz w:val="22"/>
                <w:szCs w:val="22"/>
                <w:rtl/>
              </w:rPr>
              <w:t>الشروط الخاصة</w:t>
            </w:r>
          </w:p>
        </w:tc>
      </w:tr>
      <w:tr w:rsidR="001760D5" w:rsidRPr="00577679" w14:paraId="209F4EB4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4F8721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36FFEFEE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A4495E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05A6B6B2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B01AC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479BD264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314EE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2A8F1CD9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B8209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1F787607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4AD74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4D6DC25C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28547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2BCFC378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AA1CB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1A17FF21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6268E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7AC1D4F9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447EB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4D3D2AF0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3591A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069DF232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12108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3C626D81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51CEB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5F533424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441F1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44EF0FD4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FB51F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20A43623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DA851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63AC9651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F2124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6AE735D8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9A285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7740BCEC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F7EA2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407A0B8E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A266C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2BAD5853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C92B6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56B51606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AD013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7DA0D849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21F87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1C203A70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E9D9A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6E38AA81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66354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right w:val="nil"/>
            </w:tcBorders>
          </w:tcPr>
          <w:p w14:paraId="0A6D5C45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972DF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577679" w14:paraId="22C3F96D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F1FA5F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3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41ECA60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6CA19" w14:textId="77777777" w:rsidR="001760D5" w:rsidRPr="00577679" w:rsidRDefault="001760D5" w:rsidP="00003864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1760D5" w:rsidRPr="00770987" w14:paraId="3E973E28" w14:textId="77777777" w:rsidTr="00003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483FE" w14:textId="77777777" w:rsidR="001760D5" w:rsidRPr="00770987" w:rsidRDefault="00962666" w:rsidP="00003864">
            <w:pPr>
              <w:pStyle w:val="ListParagraph"/>
              <w:bidi/>
              <w:spacing w:before="60" w:after="240"/>
              <w:ind w:left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rtl/>
              </w:rPr>
              <w:t xml:space="preserve">أصدر لصالح إدارة الطرق: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88865C" w14:textId="77777777" w:rsidR="001760D5" w:rsidRPr="00770987" w:rsidRDefault="00962666" w:rsidP="00003864">
            <w:pPr>
              <w:pStyle w:val="ListParagraph"/>
              <w:bidi/>
              <w:spacing w:before="60" w:after="240"/>
              <w:ind w:left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rtl/>
              </w:rPr>
              <w:t>إقرار الاستلام من مقدم الطلب:</w:t>
            </w:r>
          </w:p>
        </w:tc>
      </w:tr>
      <w:tr w:rsidR="001760D5" w:rsidRPr="00770987" w14:paraId="43788FC0" w14:textId="77777777" w:rsidTr="00003864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849FD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497B575C" w14:textId="77777777" w:rsidR="001760D5" w:rsidRPr="00D34B6A" w:rsidRDefault="001760D5" w:rsidP="00003864">
            <w:pPr>
              <w:pStyle w:val="ListParagraph"/>
              <w:bidi/>
              <w:spacing w:after="240"/>
              <w:ind w:left="-10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D34635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1339144E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CCBEE5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3CC40067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504583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1087811E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11D29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1760D5" w:rsidRPr="00D34B6A" w14:paraId="69E30E05" w14:textId="77777777" w:rsidTr="00003864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2F9B23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</w:tcPr>
          <w:p w14:paraId="545F2DC9" w14:textId="77777777" w:rsidR="001760D5" w:rsidRPr="00D34B6A" w:rsidRDefault="00965996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  <w:r w:rsidRPr="00965996">
              <w:rPr>
                <w:rFonts w:cs="Arial"/>
                <w:position w:val="1"/>
                <w:sz w:val="18"/>
                <w:szCs w:val="18"/>
                <w:rtl/>
              </w:rPr>
              <w:t>رئيس القسم الفني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47F8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6F11DEAA" w14:textId="77777777" w:rsidR="001760D5" w:rsidRPr="00D34B6A" w:rsidRDefault="00AF55D1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  <w:rtl/>
                <w:lang w:bidi="ar-BH"/>
              </w:rPr>
            </w:pPr>
            <w:r>
              <w:rPr>
                <w:rFonts w:cs="Arial" w:hint="cs"/>
                <w:sz w:val="18"/>
                <w:szCs w:val="18"/>
                <w:rtl/>
                <w:lang w:bidi="ar-BH"/>
              </w:rPr>
              <w:t>التاريخ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81D57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14:paraId="35AA5691" w14:textId="77777777" w:rsidR="001760D5" w:rsidRPr="00D34B6A" w:rsidRDefault="00592454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position w:val="1"/>
                <w:sz w:val="18"/>
                <w:szCs w:val="18"/>
                <w:rtl/>
              </w:rPr>
              <w:t>التوقيع/ ختم الشركة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7C8D9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2571144F" w14:textId="77777777" w:rsidR="001760D5" w:rsidRPr="00D34B6A" w:rsidRDefault="00AF55D1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التاريخ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4EE9E" w14:textId="77777777" w:rsidR="001760D5" w:rsidRPr="00D34B6A" w:rsidRDefault="001760D5" w:rsidP="00003864">
            <w:pPr>
              <w:pStyle w:val="ListParagraph"/>
              <w:bidi/>
              <w:spacing w:after="24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69DC1F0" w14:textId="77777777" w:rsidR="0047757A" w:rsidRDefault="0047757A" w:rsidP="00CA347C">
      <w:pPr>
        <w:jc w:val="left"/>
      </w:pPr>
    </w:p>
    <w:p w14:paraId="2D25F226" w14:textId="77777777" w:rsidR="00D1309B" w:rsidRPr="00D1309B" w:rsidRDefault="00D1309B" w:rsidP="00D1309B">
      <w:pPr>
        <w:pStyle w:val="ListParagraph"/>
        <w:bidi/>
        <w:spacing w:before="20" w:after="60"/>
        <w:ind w:left="0"/>
        <w:jc w:val="left"/>
        <w:rPr>
          <w:rFonts w:cs="Arial"/>
          <w:color w:val="2A2D31"/>
          <w:sz w:val="16"/>
          <w:szCs w:val="16"/>
          <w:rtl/>
          <w:lang w:bidi="ar-BH"/>
        </w:rPr>
      </w:pPr>
      <w:r w:rsidRPr="00D1309B">
        <w:rPr>
          <w:rtl/>
        </w:rPr>
        <w:t>مكتب خدمة مقاول التشغيل والصيانة الذي يعمل على مدار</w:t>
      </w:r>
      <w:r>
        <w:rPr>
          <w:rFonts w:hint="cs"/>
          <w:rtl/>
        </w:rPr>
        <w:t xml:space="preserve"> 24</w:t>
      </w:r>
      <w:r w:rsidRPr="00D1309B">
        <w:rPr>
          <w:rtl/>
        </w:rPr>
        <w:t xml:space="preserve"> </w:t>
      </w:r>
      <w:r>
        <w:rPr>
          <w:rFonts w:hint="cs"/>
          <w:rtl/>
        </w:rPr>
        <w:t xml:space="preserve">ساعة: </w:t>
      </w:r>
      <w:r w:rsidRPr="00D1309B">
        <w:rPr>
          <w:rFonts w:cs="Arial"/>
          <w:color w:val="548DD4" w:themeColor="text2" w:themeTint="99"/>
          <w:sz w:val="16"/>
          <w:szCs w:val="16"/>
        </w:rPr>
        <w:t>}</w:t>
      </w:r>
      <w:r w:rsidRPr="00D1309B">
        <w:rPr>
          <w:rFonts w:cs="Arial" w:hint="cs"/>
          <w:color w:val="548DD4" w:themeColor="text2" w:themeTint="99"/>
          <w:sz w:val="16"/>
          <w:szCs w:val="16"/>
          <w:rtl/>
          <w:lang w:bidi="ar-EG"/>
        </w:rPr>
        <w:t>رقم هاتف الخط الساخن الخاص ب</w:t>
      </w:r>
      <w:r w:rsidRPr="00D1309B">
        <w:rPr>
          <w:rFonts w:cs="Arial"/>
          <w:color w:val="548DD4" w:themeColor="text2" w:themeTint="99"/>
          <w:sz w:val="16"/>
          <w:szCs w:val="16"/>
          <w:rtl/>
          <w:lang w:bidi="ar-EG"/>
        </w:rPr>
        <w:t xml:space="preserve">مكتب خدمة مقاول التشغيل والصيانة الذي يعمل على مدار </w:t>
      </w:r>
      <w:r>
        <w:rPr>
          <w:rFonts w:cs="Arial" w:hint="cs"/>
          <w:color w:val="548DD4" w:themeColor="text2" w:themeTint="99"/>
          <w:sz w:val="16"/>
          <w:szCs w:val="16"/>
          <w:rtl/>
          <w:lang w:bidi="ar-EG"/>
        </w:rPr>
        <w:t>24 ساعة</w:t>
      </w:r>
      <w:r w:rsidRPr="00D1309B">
        <w:rPr>
          <w:rFonts w:cs="Arial"/>
          <w:color w:val="548DD4" w:themeColor="text2" w:themeTint="99"/>
          <w:sz w:val="16"/>
          <w:szCs w:val="16"/>
          <w:lang w:bidi="ar-EG"/>
        </w:rPr>
        <w:t>{</w:t>
      </w:r>
    </w:p>
    <w:p w14:paraId="23C76D1B" w14:textId="77777777" w:rsidR="00CA347C" w:rsidRDefault="00CA347C" w:rsidP="00D1309B">
      <w:pPr>
        <w:bidi/>
        <w:jc w:val="left"/>
        <w:rPr>
          <w:lang w:bidi="ar-EG"/>
        </w:rPr>
      </w:pPr>
    </w:p>
    <w:p w14:paraId="34B15B5B" w14:textId="77777777" w:rsidR="00CA347C" w:rsidRDefault="00CA347C" w:rsidP="00CA347C">
      <w:pPr>
        <w:jc w:val="left"/>
      </w:pPr>
    </w:p>
    <w:p w14:paraId="130A94E4" w14:textId="77777777" w:rsidR="00CA347C" w:rsidRDefault="00CA347C" w:rsidP="00CA347C">
      <w:pPr>
        <w:jc w:val="left"/>
      </w:pPr>
    </w:p>
    <w:sectPr w:rsidR="00CA347C" w:rsidSect="009503D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DC9B" w14:textId="77777777" w:rsidR="008823C3" w:rsidRDefault="008823C3">
      <w:r>
        <w:separator/>
      </w:r>
    </w:p>
    <w:p w14:paraId="16C013B5" w14:textId="77777777" w:rsidR="008823C3" w:rsidRDefault="008823C3"/>
  </w:endnote>
  <w:endnote w:type="continuationSeparator" w:id="0">
    <w:p w14:paraId="3AD4AE2C" w14:textId="77777777" w:rsidR="008823C3" w:rsidRDefault="008823C3">
      <w:r>
        <w:continuationSeparator/>
      </w:r>
    </w:p>
    <w:p w14:paraId="0C2AB145" w14:textId="77777777" w:rsidR="008823C3" w:rsidRDefault="00882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58F4" w14:textId="77777777" w:rsidR="00D0054F" w:rsidRPr="006C1ABD" w:rsidRDefault="00D0054F" w:rsidP="00D0054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B0EFEB0" wp14:editId="394D985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A8011" id="Straight Connector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2965249"/>
        <w:placeholder>
          <w:docPart w:val="4A2CE19A9F4D4B8D91906FAE3AAD5C1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EPM-KEA-TP-000014-AR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487532086"/>
        <w:placeholder>
          <w:docPart w:val="A5FB3F91C8574608B93ED5A5983280F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622506954"/>
        <w:placeholder>
          <w:docPart w:val="C1BF629E9F7F4248939D90C8520586B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C7F7164" w14:textId="77777777" w:rsidR="00D0054F" w:rsidRPr="006C1ABD" w:rsidRDefault="00D0054F" w:rsidP="00D0054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371B4A7" w14:textId="10BFFB6C" w:rsidR="00CA347C" w:rsidRPr="00D0054F" w:rsidRDefault="00D0054F" w:rsidP="00D0054F">
    <w:pPr>
      <w:spacing w:after="240"/>
      <w:ind w:left="3420" w:right="-455" w:hanging="360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2899" w14:textId="1C03A9C7" w:rsidR="00D0054F" w:rsidRPr="006C1ABD" w:rsidRDefault="00D0054F" w:rsidP="00D0054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9E6D0F1" wp14:editId="06EA9BB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2AB9A" id="Straight Connector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F010C4EFD3F447CFB95DC575CF7C385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EPM-KEA-TP-000014-AR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4A6C13D65D424E85A2FD5137BC7C780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51719D7C703146779FC845129D633A0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9C53EC9" w14:textId="77777777" w:rsidR="00D0054F" w:rsidRPr="006C1ABD" w:rsidRDefault="00D0054F" w:rsidP="00D0054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ABC23C3" w14:textId="32204151" w:rsidR="00504661" w:rsidRPr="00D0054F" w:rsidRDefault="00D0054F" w:rsidP="00D0054F">
    <w:pPr>
      <w:spacing w:after="240"/>
      <w:ind w:left="3420" w:right="-455" w:hanging="360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859F" w14:textId="77777777" w:rsidR="008823C3" w:rsidRDefault="008823C3">
      <w:r>
        <w:separator/>
      </w:r>
    </w:p>
    <w:p w14:paraId="220AE68D" w14:textId="77777777" w:rsidR="008823C3" w:rsidRDefault="008823C3"/>
  </w:footnote>
  <w:footnote w:type="continuationSeparator" w:id="0">
    <w:p w14:paraId="5F095EE2" w14:textId="77777777" w:rsidR="008823C3" w:rsidRDefault="008823C3">
      <w:r>
        <w:continuationSeparator/>
      </w:r>
    </w:p>
    <w:p w14:paraId="0589F386" w14:textId="77777777" w:rsidR="008823C3" w:rsidRDefault="00882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9"/>
    </w:tblGrid>
    <w:tr w:rsidR="00D0054F" w14:paraId="1A735E5C" w14:textId="77777777" w:rsidTr="008403C2">
      <w:trPr>
        <w:trHeight w:val="420"/>
        <w:jc w:val="center"/>
      </w:trPr>
      <w:tc>
        <w:tcPr>
          <w:tcW w:w="9339" w:type="dxa"/>
          <w:vAlign w:val="center"/>
        </w:tcPr>
        <w:p w14:paraId="139D3417" w14:textId="77777777" w:rsidR="00D0054F" w:rsidRPr="00D0054F" w:rsidRDefault="00D0054F" w:rsidP="00D0054F">
          <w:pPr>
            <w:pStyle w:val="CPDocTitle"/>
            <w:bidi/>
            <w:rPr>
              <w:b w:val="0"/>
              <w:bCs/>
              <w:kern w:val="32"/>
              <w:sz w:val="24"/>
              <w:szCs w:val="24"/>
            </w:rPr>
          </w:pPr>
          <w:r w:rsidRPr="001B34E9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نموذج </w:t>
          </w:r>
          <w:r>
            <w:rPr>
              <w:b w:val="0"/>
              <w:bCs/>
              <w:kern w:val="32"/>
              <w:sz w:val="24"/>
              <w:szCs w:val="24"/>
            </w:rPr>
            <w:t>040101C</w:t>
          </w:r>
          <w:r w:rsidRPr="001B34E9">
            <w:rPr>
              <w:b w:val="0"/>
              <w:bCs/>
              <w:noProof/>
              <w:sz w:val="24"/>
              <w:szCs w:val="24"/>
              <w:rtl/>
              <w:lang w:eastAsia="en-US"/>
            </w:rPr>
            <w:t xml:space="preserve"> - شروط عبور الطرق</w:t>
          </w:r>
        </w:p>
        <w:p w14:paraId="10E41E84" w14:textId="77777777" w:rsidR="00D0054F" w:rsidRPr="006A25F8" w:rsidRDefault="00D0054F" w:rsidP="00D0054F">
          <w:pPr>
            <w:pStyle w:val="CPDocTitle"/>
            <w:bidi/>
            <w:jc w:val="left"/>
            <w:rPr>
              <w:kern w:val="32"/>
              <w:sz w:val="24"/>
              <w:szCs w:val="24"/>
              <w:lang w:val="en-GB"/>
            </w:rPr>
          </w:pPr>
        </w:p>
      </w:tc>
    </w:tr>
  </w:tbl>
  <w:p w14:paraId="5185984C" w14:textId="31DCD983" w:rsidR="004730C7" w:rsidRPr="00D0054F" w:rsidRDefault="00D0054F" w:rsidP="00D0054F">
    <w:pPr>
      <w:pStyle w:val="Head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51584" behindDoc="0" locked="0" layoutInCell="1" allowOverlap="1" wp14:anchorId="77254CB9" wp14:editId="6CFD3A6F">
          <wp:simplePos x="0" y="0"/>
          <wp:positionH relativeFrom="column">
            <wp:posOffset>-1049655</wp:posOffset>
          </wp:positionH>
          <wp:positionV relativeFrom="paragraph">
            <wp:posOffset>-501015</wp:posOffset>
          </wp:positionV>
          <wp:extent cx="1174750" cy="51435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9"/>
    </w:tblGrid>
    <w:tr w:rsidR="009503DA" w14:paraId="5DBD1372" w14:textId="77777777" w:rsidTr="005242F9">
      <w:trPr>
        <w:trHeight w:val="420"/>
        <w:jc w:val="center"/>
      </w:trPr>
      <w:tc>
        <w:tcPr>
          <w:tcW w:w="9339" w:type="dxa"/>
          <w:vAlign w:val="center"/>
        </w:tcPr>
        <w:p w14:paraId="04E073DB" w14:textId="786EE5FF" w:rsidR="009503DA" w:rsidRPr="00D0054F" w:rsidRDefault="00D0054F" w:rsidP="00D0054F">
          <w:pPr>
            <w:pStyle w:val="CPDocTitle"/>
            <w:bidi/>
            <w:rPr>
              <w:b w:val="0"/>
              <w:bCs/>
              <w:kern w:val="32"/>
              <w:sz w:val="24"/>
              <w:szCs w:val="24"/>
            </w:rPr>
          </w:pPr>
          <w:r w:rsidRPr="001B34E9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نموذج </w:t>
          </w:r>
          <w:r>
            <w:rPr>
              <w:b w:val="0"/>
              <w:bCs/>
              <w:kern w:val="32"/>
              <w:sz w:val="24"/>
              <w:szCs w:val="24"/>
            </w:rPr>
            <w:t>040101C</w:t>
          </w:r>
          <w:r w:rsidR="009503DA" w:rsidRPr="001B34E9">
            <w:rPr>
              <w:b w:val="0"/>
              <w:bCs/>
              <w:noProof/>
              <w:sz w:val="24"/>
              <w:szCs w:val="24"/>
              <w:rtl/>
              <w:lang w:eastAsia="en-US"/>
            </w:rPr>
            <w:t xml:space="preserve"> - شروط عبور الطرق</w:t>
          </w:r>
        </w:p>
        <w:p w14:paraId="1442B241" w14:textId="77777777" w:rsidR="009503DA" w:rsidRPr="006A25F8" w:rsidRDefault="009503DA" w:rsidP="00D0054F">
          <w:pPr>
            <w:pStyle w:val="CPDocTitle"/>
            <w:bidi/>
            <w:jc w:val="left"/>
            <w:rPr>
              <w:kern w:val="32"/>
              <w:sz w:val="24"/>
              <w:szCs w:val="24"/>
              <w:lang w:val="en-GB"/>
            </w:rPr>
          </w:pPr>
        </w:p>
      </w:tc>
    </w:tr>
  </w:tbl>
  <w:p w14:paraId="45699C16" w14:textId="0AA6D844" w:rsidR="009503DA" w:rsidRPr="009503DA" w:rsidRDefault="00D0054F" w:rsidP="00D0054F">
    <w:pPr>
      <w:pStyle w:val="Head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50560" behindDoc="0" locked="0" layoutInCell="1" allowOverlap="1" wp14:anchorId="66445F60" wp14:editId="1DB488E6">
          <wp:simplePos x="0" y="0"/>
          <wp:positionH relativeFrom="column">
            <wp:posOffset>-1049655</wp:posOffset>
          </wp:positionH>
          <wp:positionV relativeFrom="paragraph">
            <wp:posOffset>-501015</wp:posOffset>
          </wp:positionV>
          <wp:extent cx="1174750" cy="5143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379D8"/>
    <w:multiLevelType w:val="hybridMultilevel"/>
    <w:tmpl w:val="97A63494"/>
    <w:lvl w:ilvl="0" w:tplc="6B0072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18153A"/>
    <w:multiLevelType w:val="hybridMultilevel"/>
    <w:tmpl w:val="0DFE433C"/>
    <w:lvl w:ilvl="0" w:tplc="0409000F">
      <w:start w:val="1"/>
      <w:numFmt w:val="decimal"/>
      <w:lvlText w:val="%1."/>
      <w:lvlJc w:val="left"/>
      <w:pPr>
        <w:ind w:left="569" w:hanging="360"/>
      </w:p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9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2F85"/>
    <w:rsid w:val="0000319C"/>
    <w:rsid w:val="00003864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543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36B02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0B19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177D8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52A0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C4E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60D5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4E9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1DF2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A5B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28A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DC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4FD"/>
    <w:rsid w:val="002C5E13"/>
    <w:rsid w:val="002C6712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5F96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0FC8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620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5E09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2696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163"/>
    <w:rsid w:val="00573C54"/>
    <w:rsid w:val="00574D46"/>
    <w:rsid w:val="00574D7D"/>
    <w:rsid w:val="005751B8"/>
    <w:rsid w:val="005756BA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B53"/>
    <w:rsid w:val="00584CC6"/>
    <w:rsid w:val="0059027C"/>
    <w:rsid w:val="00592454"/>
    <w:rsid w:val="00594107"/>
    <w:rsid w:val="005942DD"/>
    <w:rsid w:val="00594397"/>
    <w:rsid w:val="00595900"/>
    <w:rsid w:val="0059724C"/>
    <w:rsid w:val="005A0B94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37A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114D"/>
    <w:rsid w:val="00692DCC"/>
    <w:rsid w:val="00693C58"/>
    <w:rsid w:val="006955E1"/>
    <w:rsid w:val="00696008"/>
    <w:rsid w:val="00697462"/>
    <w:rsid w:val="00697D04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548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42D"/>
    <w:rsid w:val="00752778"/>
    <w:rsid w:val="00755A6E"/>
    <w:rsid w:val="00757817"/>
    <w:rsid w:val="00760DBA"/>
    <w:rsid w:val="00762DA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67BE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07C8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1F2E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0539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CC1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23C3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728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3D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2666"/>
    <w:rsid w:val="0096398D"/>
    <w:rsid w:val="009640B3"/>
    <w:rsid w:val="00965531"/>
    <w:rsid w:val="00965996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C65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23D5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0AB0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4559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BA6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55D1"/>
    <w:rsid w:val="00AF714C"/>
    <w:rsid w:val="00AF7963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D6A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2B45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4B9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DFE"/>
    <w:rsid w:val="00C31176"/>
    <w:rsid w:val="00C311CF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312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065"/>
    <w:rsid w:val="00C8638D"/>
    <w:rsid w:val="00C87426"/>
    <w:rsid w:val="00C900B0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9E6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365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054F"/>
    <w:rsid w:val="00D013F7"/>
    <w:rsid w:val="00D0157A"/>
    <w:rsid w:val="00D01B7D"/>
    <w:rsid w:val="00D02ABF"/>
    <w:rsid w:val="00D037FA"/>
    <w:rsid w:val="00D04E0E"/>
    <w:rsid w:val="00D06A7F"/>
    <w:rsid w:val="00D108CB"/>
    <w:rsid w:val="00D1309B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958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0628"/>
    <w:rsid w:val="00D82DFE"/>
    <w:rsid w:val="00D84582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7C3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1804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91B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27C05"/>
    <w:rsid w:val="00F338F6"/>
    <w:rsid w:val="00F368C9"/>
    <w:rsid w:val="00F369F7"/>
    <w:rsid w:val="00F40BEC"/>
    <w:rsid w:val="00F42219"/>
    <w:rsid w:val="00F4245A"/>
    <w:rsid w:val="00F428CA"/>
    <w:rsid w:val="00F44BE9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AE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3AD0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97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DA1B4"/>
  <w15:docId w15:val="{ACA3B263-8415-441B-A5EC-450B21D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9503DA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1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821CC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0C4EFD3F447CFB95DC575CF7C3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9722A-2C37-42B4-93D8-27CE9111D691}"/>
      </w:docPartPr>
      <w:docPartBody>
        <w:p w:rsidR="00000000" w:rsidRDefault="00AC5319" w:rsidP="00AC5319">
          <w:pPr>
            <w:pStyle w:val="F010C4EFD3F447CFB95DC575CF7C385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A6C13D65D424E85A2FD5137BC7C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A17A-E84D-4F24-8553-0EDE1CB09BA5}"/>
      </w:docPartPr>
      <w:docPartBody>
        <w:p w:rsidR="00000000" w:rsidRDefault="00AC5319" w:rsidP="00AC5319">
          <w:pPr>
            <w:pStyle w:val="4A6C13D65D424E85A2FD5137BC7C780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51719D7C703146779FC845129D63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5A18-159F-42BA-AEC5-9ABAE10BB8DF}"/>
      </w:docPartPr>
      <w:docPartBody>
        <w:p w:rsidR="00000000" w:rsidRDefault="00AC5319" w:rsidP="00AC5319">
          <w:pPr>
            <w:pStyle w:val="51719D7C703146779FC845129D633A0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A2CE19A9F4D4B8D91906FAE3AAD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5846-FA08-4E08-BD9C-8C718BBCCD6A}"/>
      </w:docPartPr>
      <w:docPartBody>
        <w:p w:rsidR="00000000" w:rsidRDefault="00AC5319" w:rsidP="00AC5319">
          <w:pPr>
            <w:pStyle w:val="4A2CE19A9F4D4B8D91906FAE3AAD5C1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5FB3F91C8574608B93ED5A59832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1569-DBFE-45E7-9427-52636BEF1683}"/>
      </w:docPartPr>
      <w:docPartBody>
        <w:p w:rsidR="00000000" w:rsidRDefault="00AC5319" w:rsidP="00AC5319">
          <w:pPr>
            <w:pStyle w:val="A5FB3F91C8574608B93ED5A5983280F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1BF629E9F7F4248939D90C85205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0AF6-3A7E-4340-B94E-DA133FA25242}"/>
      </w:docPartPr>
      <w:docPartBody>
        <w:p w:rsidR="00000000" w:rsidRDefault="00AC5319" w:rsidP="00AC5319">
          <w:pPr>
            <w:pStyle w:val="C1BF629E9F7F4248939D90C8520586B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9"/>
    <w:rsid w:val="00AC5319"/>
    <w:rsid w:val="00D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C5319"/>
    <w:rPr>
      <w:color w:val="808080"/>
    </w:rPr>
  </w:style>
  <w:style w:type="paragraph" w:customStyle="1" w:styleId="F010C4EFD3F447CFB95DC575CF7C3850">
    <w:name w:val="F010C4EFD3F447CFB95DC575CF7C3850"/>
    <w:rsid w:val="00AC5319"/>
  </w:style>
  <w:style w:type="paragraph" w:customStyle="1" w:styleId="4A6C13D65D424E85A2FD5137BC7C780A">
    <w:name w:val="4A6C13D65D424E85A2FD5137BC7C780A"/>
    <w:rsid w:val="00AC5319"/>
  </w:style>
  <w:style w:type="paragraph" w:customStyle="1" w:styleId="51719D7C703146779FC845129D633A07">
    <w:name w:val="51719D7C703146779FC845129D633A07"/>
    <w:rsid w:val="00AC5319"/>
  </w:style>
  <w:style w:type="paragraph" w:customStyle="1" w:styleId="4A2CE19A9F4D4B8D91906FAE3AAD5C1A">
    <w:name w:val="4A2CE19A9F4D4B8D91906FAE3AAD5C1A"/>
    <w:rsid w:val="00AC5319"/>
  </w:style>
  <w:style w:type="paragraph" w:customStyle="1" w:styleId="A5FB3F91C8574608B93ED5A5983280F2">
    <w:name w:val="A5FB3F91C8574608B93ED5A5983280F2"/>
    <w:rsid w:val="00AC5319"/>
  </w:style>
  <w:style w:type="paragraph" w:customStyle="1" w:styleId="C1BF629E9F7F4248939D90C8520586BB">
    <w:name w:val="C1BF629E9F7F4248939D90C8520586BB"/>
    <w:rsid w:val="00AC5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A1FAC-57B2-4D8F-BD73-FEA8C56EA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703DB-1812-4BAE-9D33-149B8130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202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Conditions for Road Encroachments</vt:lpstr>
    </vt:vector>
  </TitlesOfParts>
  <Company>Bechtel/EDS</Company>
  <LinksUpToDate>false</LinksUpToDate>
  <CharactersWithSpaces>3124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Conditions for Road Encroachments</dc:title>
  <dc:subject>EPM-KEA-TP-000014-AR</dc:subject>
  <dc:creator>Joel Reyes</dc:creator>
  <cp:keywords>ᅟ</cp:keywords>
  <cp:lastModifiedBy>اسماء المطيري Asma Almutairi</cp:lastModifiedBy>
  <cp:revision>72</cp:revision>
  <cp:lastPrinted>2017-03-07T13:13:00Z</cp:lastPrinted>
  <dcterms:created xsi:type="dcterms:W3CDTF">2017-10-11T08:39:00Z</dcterms:created>
  <dcterms:modified xsi:type="dcterms:W3CDTF">2022-04-13T11:45:00Z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